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أحمد القاضي أبو بكر الجُرشى الحيرى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أحمد القاضي أبو بكر الجُرشى الحيرى النيسابوري
</w:t>
      </w:r>
    </w:p>
    <w:p>
      <w:pPr/>
      <w:r>
        <w:rPr/>
        <w:t xml:space="preserve">أحمد بن الحسن بن أحمد القاضي أبو بكر الجُرشى الحيرى النيسابوري </w:t>
      </w:r>
    </w:p>
    <w:p/>
    <w:p>
      <w:pPr/>
      <w:r>
        <w:rPr/>
        <w:t xml:space="preserve">قاضيها، وأخذ الفقه عن أبي الوليد وسمع من الأصم، وأصابه في آخر عمره في سمعه وقر كما وقع لشيخه الأصم، ولد سنة خمس وعشرين وثلثمائة، ومات سنة إحدى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2026-08-05T17:17:10+03:00</dcterms:created>
  <dcterms:modified xsi:type="dcterms:W3CDTF">2026-08-05T17:17:10+03:00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