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اللَّه بن أحمد القاضي أبو عبد اللَّه البيضاوي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اللَّه بن أحمد القاضي أبو عبد اللَّه البيضاوي
</w:t>
      </w:r>
    </w:p>
    <w:p>
      <w:pPr/>
      <w:r>
        <w:rPr/>
        <w:t xml:space="preserve">محمد عبد اللَّه بن أحمد القاضي أبو عبد اللَّه البيضاوي </w:t>
      </w:r>
    </w:p>
    <w:p/>
    <w:p>
      <w:pPr/>
      <w:r>
        <w:rPr/>
        <w:t xml:space="preserve">تفقه على الداركى، وكان صدوقاً، وعنه أبو إسحاق، مات فجأة سنة أربع وعشرين وأربعمائة، ودفن بباب خرف، كذا أرَّخه الشيخ أبو إسحاق وابن الصلاح، ووهم بعض الشاميين العصريين فقال: توفي سنة أربع وعشرين وثلثمائة، وذكره في الطبقة الثالثة فاحذره، وسيأتي ذكر ولده وحفيده في آخر الطبقة الثانية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2026-10-08T01:46:23+03:00</dcterms:created>
  <dcterms:modified xsi:type="dcterms:W3CDTF">2026-10-08T01:46:23+03:00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