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محمد بن حمدويه بن نعيم بن الحكم الحافظ أبو عبد اللَّه الحاكم النيسابوري
</w:t>
      </w:r>
    </w:p>
    <w:p>
      <w:pPr>
        <w:jc w:val="start"/>
        <w:bidi/>
      </w:pPr>
      <w:r>
        <w:rPr>
          <w:rFonts w:ascii="arial" w:hAnsi="arial" w:eastAsia="arial" w:cs="arial"/>
          <w:sz w:val="28"/>
          <w:szCs w:val="28"/>
          <w:b w:val="1"/>
          <w:bCs w:val="1"/>
          <w:rtl/>
        </w:rPr>
        <w:t xml:space="preserve">محمد بن عبد اللَّه بن محمد بن حمدويه بن نعيم بن الحكم الحافظ أبو عبد اللَّه الحاكم النيسابوري
</w:t>
      </w:r>
    </w:p>
    <w:p>
      <w:pPr/>
      <w:r>
        <w:rPr/>
        <w:t xml:space="preserve">محمد بن عبد اللَّه بن محمد بن حمدويه بن نعيم بن الحكم الحافظ أبو عبد اللَّه الحاكم النيسابوري </w:t>
      </w:r>
    </w:p>
    <w:p/>
    <w:p>
      <w:pPr/>
      <w:r>
        <w:rPr/>
        <w:t xml:space="preserve">الرحَّال الإمام الحافظ الكبير المعروف بابن البيّع. صاحب ’’المستدرك’’ و’’الإكليل’’ و’’معرفة الحديث’’ و’’تاريخ نيسابور’’ و’’مزكى الأخبار’’، و’’المدخل’’، و’’فضائل</w:t>
      </w:r>
    </w:p>
    <w:p/>
    <w:p>
      <w:pPr/>
      <w:r>
        <w:rPr/>
        <w:t xml:space="preserve">الشافعي’’ وغيرها. رحل في طلب الحديث وسمع الكثير عن شيوخ يزيدون على ألفين، كان مولده سنة إحدى وعشرين وثلثمائة. واستملى على ابن حبان وتفقه على ابن أبي هريرة وغيره، ووى عنه الأثمة الدارقطني وناظره، والقفال الشاشى وهما من شيوخه والبيهقى وأكثر عنه وبكتبه تفقه وتخرج. والأستاذ أبو القاسم القشيرى، ورحل الناس اليه من الآفاق وحدثوا عنه في حياته، ومن الغريب أنَّ الشيخ أبا عمر الطلمنكى الفقيه المالكي كتب علوم الحديث للحاكم عن شيخ له سنة تسع وثمانين وثلثمائة بسماعه من صاحب الحاكم، والحاكم مات في صفر سنة خمسين وأربعمائة وقيل سنة ثلاث. قال أبو يعلى الخليلى: بلغت تصانيفه للكتب الطوال والأبواب وجمع الشيوخ قريباً من خمسمائة جزء. وقال عبد الغافر الفارسى: لعلها تبلغ قريبا من ألف جزء. وقال أبو حازم العبدرى: بلغتط ألفاً وخمسمائة جزء. قام الإجماع على ثقته، ونسب الى التشيع وقال: شربت ماء زمزم وسألت اللَّه أن يرزقنى حسن التصنيف وشرع فيه سنة سبع وثلاثين، أطنب عبد الغافر في وصفه وهو فوق ذلك، وأفرد ترجمته بالتصنيف الحافظ المديني وذكر أنه دخل الحمام وإغتسل وخرج فقال آه. وقبض روحه وهو مستور لم يلبس القميص بعد، وصلى عليه القاضي أبو بكر الحيري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2026-08-05T16:31:21+03:00</dcterms:created>
  <dcterms:modified xsi:type="dcterms:W3CDTF">2026-08-05T16:31:21+03:00</dcterms:modified>
</cp:coreProperties>
</file>

<file path=docProps/custom.xml><?xml version="1.0" encoding="utf-8"?>
<Properties xmlns="http://schemas.openxmlformats.org/officeDocument/2006/custom-properties" xmlns:vt="http://schemas.openxmlformats.org/officeDocument/2006/docPropsVTypes"/>
</file>