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الكرابيسي
</w:t>
      </w:r>
    </w:p>
    <w:p>
      <w:pPr>
        <w:jc w:val="start"/>
        <w:bidi/>
      </w:pPr>
      <w:r>
        <w:rPr>
          <w:rFonts w:ascii="arial" w:hAnsi="arial" w:eastAsia="arial" w:cs="arial"/>
          <w:sz w:val="28"/>
          <w:szCs w:val="28"/>
          <w:b w:val="1"/>
          <w:bCs w:val="1"/>
          <w:rtl/>
        </w:rPr>
        <w:t xml:space="preserve">محمد بن الحسن الكرابيسي
</w:t>
      </w:r>
    </w:p>
    <w:p>
      <w:pPr/>
      <w:r>
        <w:rPr/>
        <w:t xml:space="preserve">محمد بن الحسن الكرابيسي </w:t>
      </w:r>
    </w:p>
    <w:p/>
    <w:p>
      <w:pPr/>
      <w:r>
        <w:rPr/>
        <w:t xml:space="preserve">ذكره العبادي في الطبقة الثالثة طبقة ابن حربويه ونظرائه ولم يذكر له وفاة قال: وهو القائل: إذا قال لامرأته أنت طالق مثل ألف تطلق ثلاثاً، لأنه تشبيه عدد كقوله مثل عدد نجوم السماء، وإذا قال مثل الألف تطلق واحدة إذا لم ينوِ شيئاً؛ لأنه شبه تعظيم مثل قوله: أنت طالق مثل الجبل. وقال أبو على الثقفى: إذا قال أنت طالق كألف تقع طلقة رجعية، وفى شرح الرافعي لو قال: أنت طالق كمائة فهل تقع واحدة ألف مره ولم ينوِ عدداً لم يقع الا واحدة كذا قاله المتولي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2026-10-08T02:52:22+03:00</dcterms:created>
  <dcterms:modified xsi:type="dcterms:W3CDTF">2026-10-08T02:52:22+03:00</dcterms:modified>
</cp:coreProperties>
</file>

<file path=docProps/custom.xml><?xml version="1.0" encoding="utf-8"?>
<Properties xmlns="http://schemas.openxmlformats.org/officeDocument/2006/custom-properties" xmlns:vt="http://schemas.openxmlformats.org/officeDocument/2006/docPropsVTypes"/>
</file>