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جعفر أبو بكر الدقاق الأصولي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جعفر أبو بكر الدقاق الأصولي
</w:t>
      </w:r>
    </w:p>
    <w:p>
      <w:pPr/>
      <w:r>
        <w:rPr/>
        <w:t xml:space="preserve">محمد بن محمد بن جعفر أبو بكر الدقاق الأصولي </w:t>
      </w:r>
    </w:p>
    <w:p/>
    <w:p>
      <w:pPr/>
      <w:r>
        <w:rPr/>
        <w:t xml:space="preserve">القائل بمفهوم اللقب قال الأستاذ أبو إسحاق في ’’كتابه أصول الفقه’’: وقد ناظر الدقاق على مفهوم الاسم فالتزم عدم وجوب الزكاة والصوم من وجوب الصلاة فبان له غلطة وتوقف فيه. قال الخطيب: روى حديثاً واحدا، ولد سنة ست وثلثمائة، ومات سنة اثنتين وتسعين، ’’شرح المختصر’’.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2026-10-08T02:57:05+03:00</dcterms:created>
  <dcterms:modified xsi:type="dcterms:W3CDTF">2026-10-08T02:57:05+03:00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