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اللَّه بن نصير بن ورقة الأودني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اللَّه بن نصير بن ورقة الأودني
</w:t>
      </w:r>
    </w:p>
    <w:p>
      <w:pPr/>
      <w:r>
        <w:rPr/>
        <w:t xml:space="preserve">محمد بن عبد اللَّه بن نصير بن ورقة الأودني </w:t>
      </w:r>
    </w:p>
    <w:p/>
    <w:p>
      <w:pPr/>
      <w:r>
        <w:rPr/>
        <w:t xml:space="preserve">بضم الهمزة وفتحها قرية من قرى بخارى، من كبار أصحاب الوجوه، روى عنه الحاكم وأثنى عليه، مات سنه خمس وثمانين وثلثمائة، قال الإمام في ’’النهاية’’: كان من دأبه أن يضن بالفقه قال من لا يستحقه ولا يبديه، وإن كان يظهر أثر الانقطاع عليه في المناظرة.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2026-10-08T02:56:28+03:00</dcterms:created>
  <dcterms:modified xsi:type="dcterms:W3CDTF">2026-10-08T02:56:28+03:00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