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عمر بن أحمد أبو الحسن الدارقطني.
</w:t>
      </w:r>
    </w:p>
    <w:p>
      <w:pPr>
        <w:jc w:val="start"/>
        <w:bidi/>
      </w:pPr>
      <w:r>
        <w:rPr>
          <w:rFonts w:ascii="arial" w:hAnsi="arial" w:eastAsia="arial" w:cs="arial"/>
          <w:sz w:val="28"/>
          <w:szCs w:val="28"/>
          <w:b w:val="1"/>
          <w:bCs w:val="1"/>
          <w:rtl/>
        </w:rPr>
        <w:t xml:space="preserve">علي بن عمر بن أحمد أبو الحسن الدارقطني.
</w:t>
      </w:r>
    </w:p>
    <w:p>
      <w:pPr/>
      <w:r>
        <w:rPr/>
        <w:t xml:space="preserve">علي بن عمر بن أحمد أبو الحسن الدارقطني. </w:t>
      </w:r>
    </w:p>
    <w:p/>
    <w:p>
      <w:pPr/>
      <w:r>
        <w:rPr/>
        <w:t xml:space="preserve">أحد الحفاظ صاحب ’’السنن’’، و’’العلل’’، و’’الأفراد’’، تفقه بأبى سعيد الإصطخرى، وروى عنه الشيخ أبو حامد والقاضي أبو الطيب والمحاكم، وهو أمير المؤمنين في الحديث كما قال القاضي أبو الطيب، ومن تأمل سننه عرف قدر علمه بمذاهب العلماء. مات سنة خمس وثمانين وثلثمائة عن تسع وسبعين سنة، وصلى عليه الشيخ أبو حامد، ودفن قريباً من معروف الكرخى. ومن لطائفه: أنه جئ برجل غريب ليملى عليه شيئاً فتعلل، ثم أملى من حفظة مجلساً يزيد أحاديثه على العشرين متن جميعها: ’’نعم الشئ الهدية أمام الحاجة’’ . فانصرف الرجل فأهدى له شيئاً فقربه، وأملى عليه من حفظة سبعة عشر حديثاً من جميعها: ’’إذا آتاكم كريم قوم فأكرموه’’. </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2026-08-05T18:18:01+03:00</dcterms:created>
  <dcterms:modified xsi:type="dcterms:W3CDTF">2026-08-05T18:18:01+03:00</dcterms:modified>
</cp:coreProperties>
</file>

<file path=docProps/custom.xml><?xml version="1.0" encoding="utf-8"?>
<Properties xmlns="http://schemas.openxmlformats.org/officeDocument/2006/custom-properties" xmlns:vt="http://schemas.openxmlformats.org/officeDocument/2006/docPropsVTypes"/>
</file>