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بشير بن عامر.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بشير بن عامر.
</w:t>
      </w:r>
    </w:p>
    <w:p>
      <w:pPr/>
      <w:r>
        <w:rPr/>
        <w:t xml:space="preserve">أحمد بن بشير بن عامر. </w:t>
      </w:r>
    </w:p>
    <w:p/>
    <w:p>
      <w:pPr/>
      <w:r>
        <w:rPr/>
        <w:t xml:space="preserve">ولعله أبو حامد المروزي شرح المزنى، وله ’’الجامع’’. أخذ عن أبى إسحاق المروزي، ومات سنة اثنتين وستين وثلثمائة، وولده أبو محمد يأتى في الكنى إن شاء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2026-10-08T04:02:49+03:00</dcterms:created>
  <dcterms:modified xsi:type="dcterms:W3CDTF">2026-10-08T04:02:49+03:00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