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أحمد أبو العباس الكرجي الأديب.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أحمد أبو العباس الكرجي الأديب.
</w:t>
      </w:r>
    </w:p>
    <w:p>
      <w:pPr/>
      <w:r>
        <w:rPr/>
        <w:t xml:space="preserve">محمد بن علي بن أحمد أبو العباس الكرجي الأديب. </w:t>
      </w:r>
    </w:p>
    <w:p/>
    <w:p>
      <w:pPr/>
      <w:r>
        <w:rPr/>
        <w:t xml:space="preserve">أخذ الفقه عن ابن عبد اللَّه، الزبيرى روى عنه الحاكم مختصراً أبي عبد اللَّه وأثنى عليه، مات سنة ثلاث وأربعين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2026-08-05T21:30:32+03:00</dcterms:created>
  <dcterms:modified xsi:type="dcterms:W3CDTF">2026-08-05T21:30:32+03:00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