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الوهاب أبو على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الوهاب أبو على الثقفي
</w:t>
      </w:r>
    </w:p>
    <w:p>
      <w:pPr/>
      <w:r>
        <w:rPr/>
        <w:t xml:space="preserve">محمد بن عبد الوهاب أبو على الثقفي </w:t>
      </w:r>
    </w:p>
    <w:p/>
    <w:p>
      <w:pPr/>
      <w:r>
        <w:rPr/>
        <w:t xml:space="preserve">تفقه الواعظ الفقيه تفقه على محمد بن نصير كما قاله العبادي، وأجاب الجامع الصغير لمحمد بن الحسن، وعنه أبو الوليد الفقيه وابن خزيمة، وقال ابن سريج: ما جاءنا من خرسان أفقه منه، وقال ابن خزيمة له: ما يحل لأحد منا بخراسان يفتى وأنت حى. قال ابن خزيمة: وسمعت أبا القاسم؛ الشيرواني يقول: ما ولد في الإسلام بعد رسول اللَّه صلى اللَّه عليه وسلم. والصحابة أعقل منه. مولده بقهستان سنة أربع وأربعين ومائتين، ومات سنة ثمان وعشرين وثلثمائة، قال السلمى قال يقول: يا من باع كلَّ شيء بلا شيء، واشترى لا شيء بكلِّ شيء قال أبو عاصم: وذكر فيما إذا قال: أنت طالق إن شئت، فقالت: شئت إن كان كذا أو إن شاء فلان بن أبي حنيفة أنه إن كان لشيء مضى وقع، وإن كان لشيء مستقبل لم يقع وبطل خيارها ثم قال أعنى الثقفي: فيه احتمالان أحدهما: أنه يقع في الحال إذا وجد في المجلس. والثانى: أنه يقع في الحالين إذا وجد في المجلس أو بعده. وقال أبو على الزجاجي، لا يقع بحال. قلت: وهو المذهب والاحتمالان غريبان، وفي الرافعي وجه أخر: أنه تعليق المشيئة ويقع الطلاق إذا قال المعلق إن شئت.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2026-08-05T18:17:19+03:00</dcterms:created>
  <dcterms:modified xsi:type="dcterms:W3CDTF">2026-08-05T18:17:19+03:00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