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العفريس أبو سهل
</w:t>
      </w:r>
    </w:p>
    <w:p>
      <w:pPr>
        <w:jc w:val="start"/>
        <w:bidi/>
      </w:pPr>
      <w:r>
        <w:rPr>
          <w:rFonts w:ascii="arial" w:hAnsi="arial" w:eastAsia="arial" w:cs="arial"/>
          <w:sz w:val="28"/>
          <w:szCs w:val="28"/>
          <w:b w:val="1"/>
          <w:bCs w:val="1"/>
          <w:rtl/>
        </w:rPr>
        <w:t xml:space="preserve">أحمد بن محمد بن العفريس أبو سهل
</w:t>
      </w:r>
    </w:p>
    <w:p>
      <w:pPr/>
      <w:r>
        <w:rPr/>
        <w:t xml:space="preserve">أحمد بن محمد بن العفريس أبو سهل </w:t>
      </w:r>
    </w:p>
    <w:p/>
    <w:p>
      <w:pPr/>
      <w:r>
        <w:rPr/>
        <w:t xml:space="preserve">صاحب ’’جمع الجوامع’’ وقفت على بعضه بدمشق في رحلتي إليها، ذكره العبادي في طبقة القفال الشاشى، وقال: نقل عن الشافعي أن الجيش إذا نزلوا بقعةً في دار الحرب وقهروا أهلها بالاستيلاء عليها لم تصر دار إسلام ولا يملكوا ما لم يظهر فيها أحكام المسلمين حتى إذا ذهبوا، واستولى أحد وأظهر الأحكام فالملك للثانى. قلت: وهو أيضاً من طبقة أبي زيد والخفاف، وذكر في آخر خطبته جمع الجوامع أنه روى عن الأصم عن الربيع.</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2026-10-08T04:04:07+03:00</dcterms:created>
  <dcterms:modified xsi:type="dcterms:W3CDTF">2026-10-08T04:04:07+03:00</dcterms:modified>
</cp:coreProperties>
</file>

<file path=docProps/custom.xml><?xml version="1.0" encoding="utf-8"?>
<Properties xmlns="http://schemas.openxmlformats.org/officeDocument/2006/custom-properties" xmlns:vt="http://schemas.openxmlformats.org/officeDocument/2006/docPropsVTypes"/>
</file>