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محمد أبو العباس الدغولي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محمد أبو العباس الدغولي
</w:t>
      </w:r>
    </w:p>
    <w:p>
      <w:pPr/>
      <w:r>
        <w:rPr/>
        <w:t xml:space="preserve">محمد بن عبد الرحمن بن محمد أبو العباس الدغولي </w:t>
      </w:r>
    </w:p>
    <w:p/>
    <w:p>
      <w:pPr/>
      <w:r>
        <w:rPr/>
        <w:t xml:space="preserve">صاحب ’’المسند’’ المشهور أثنى عليه الأئمة قال: أربع كتب لا تفارقنى في السفر والحضر: ’’مختصر المزني’’ و’’العبر’’ و’’تاريخ البخارى’’ و’’كليلة ودمنة’’. وقيل له: لم لا تقنت في صلاة الفجر قال: لراحة الجسد ومدارة الأهل والولد وسنة أهل البلد. مات سنة خمس وعشرين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2026-10-08T04:40:49+03:00</dcterms:created>
  <dcterms:modified xsi:type="dcterms:W3CDTF">2026-10-08T04:40:49+03:00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