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حازم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حازم الجرجاني
</w:t>
      </w:r>
    </w:p>
    <w:p>
      <w:pPr/>
      <w:r>
        <w:rPr/>
        <w:t xml:space="preserve">محمد بن جعفر بن حازم الجرجاني </w:t>
      </w:r>
    </w:p>
    <w:p/>
    <w:p>
      <w:pPr/>
      <w:r>
        <w:rPr/>
        <w:t xml:space="preserve">صاحب ابن سريج أحد الأئمة، ذكره الذهبي في ’’تاريخه’’، قال ابن سريج في حقه: ما عبر النهروان أفقه منه. مات سنة أربع وعشرين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2026-10-08T04:38:30+03:00</dcterms:created>
  <dcterms:modified xsi:type="dcterms:W3CDTF">2026-10-08T04:38:30+03:00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