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نصر أبو جعفر الترمذي.
</w:t>
      </w:r>
    </w:p>
    <w:p>
      <w:pPr>
        <w:jc w:val="start"/>
        <w:bidi/>
      </w:pPr>
      <w:r>
        <w:rPr>
          <w:rFonts w:ascii="arial" w:hAnsi="arial" w:eastAsia="arial" w:cs="arial"/>
          <w:sz w:val="28"/>
          <w:szCs w:val="28"/>
          <w:b w:val="1"/>
          <w:bCs w:val="1"/>
          <w:rtl/>
        </w:rPr>
        <w:t xml:space="preserve">محمد بن أحمد بن نصر أبو جعفر الترمذي.
</w:t>
      </w:r>
    </w:p>
    <w:p>
      <w:pPr/>
      <w:r>
        <w:rPr/>
        <w:t xml:space="preserve">محمد بن أحمد بن نصر أبو جعفر الترمذي. </w:t>
      </w:r>
    </w:p>
    <w:p/>
    <w:p>
      <w:pPr/>
      <w:r>
        <w:rPr/>
        <w:t xml:space="preserve">شيخ الشافعية بالعراق، ولد سنة ثمانين ومات سنة خمس وتسعين، وكان ورعا متقلِّلاً، كان يجرى عليه في الشهر أربعة دراهم ولا يسأل أحدا شيئاً، ومناقبه مشهورة في رجوعه عن مذهب أبي حنيفة، وقطع بطهارة شعر رسول اللَّه صلى اللَّه عليه وسلم وهو الحق، فإنه فرقه ولا يفرق غير طاهر. ونفى الضمان فيما إذا رمى إلى حربى فأسلم ثم أصابه السهم.</w:t>
      </w:r>
    </w:p>
    <w:p/>
    <w:p>
      <w:pPr/>
      <w:r>
        <w:rPr/>
        <w:t xml:space="preserve">وقال: إن الساجد للتلاوة خارج الصلاة لا يكبر للافتتاح لا وجوبا ولا ندباً والمعروف خلافهما.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2026-08-05T17:04:09+03:00</dcterms:created>
  <dcterms:modified xsi:type="dcterms:W3CDTF">2026-08-05T17:04:09+03:00</dcterms:modified>
</cp:coreProperties>
</file>

<file path=docProps/custom.xml><?xml version="1.0" encoding="utf-8"?>
<Properties xmlns="http://schemas.openxmlformats.org/officeDocument/2006/custom-properties" xmlns:vt="http://schemas.openxmlformats.org/officeDocument/2006/docPropsVTypes"/>
</file>