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الإمام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الإمام الشافعي.
</w:t>
      </w:r>
    </w:p>
    <w:p>
      <w:pPr/>
      <w:r>
        <w:rPr/>
        <w:t xml:space="preserve">محمد بن الإمام الشافعي. </w:t>
      </w:r>
    </w:p>
    <w:p/>
    <w:p>
      <w:pPr/>
      <w:r>
        <w:rPr/>
        <w:t xml:space="preserve">ووى عن أبيه قاله الدارقطني. مات سنة إحدى وثلاثين ومائتين، قال ابن يونس: وأخوه محمد أكبر منه يروى عن ابن عيينة، مات سنة خمس ومائتين بالثغر قلت: هو قاضي الجزيرة وأعمالها، ووهم من قال ولى بغداد، وكنيته أبو عثمان، عاتبه والده يوما فقال له: لو علمت أنَّ الماء البارد يثلم من مروءتى ما شربته إلَّا حارّاً.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2026-08-05T18:53:04+03:00</dcterms:created>
  <dcterms:modified xsi:type="dcterms:W3CDTF">2026-08-05T18:53:04+03:00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