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الحكم.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الحكم.
</w:t>
      </w:r>
    </w:p>
    <w:p>
      <w:pPr/>
      <w:r>
        <w:rPr/>
        <w:t xml:space="preserve">محمد بن عبد اللَّه بن الحكم. </w:t>
      </w:r>
    </w:p>
    <w:p/>
    <w:p>
      <w:pPr/>
      <w:r>
        <w:rPr/>
        <w:t xml:space="preserve">صاحب الشافعي، ثم انتقل إلى مذهب مالك، ولد سنة اثنتين وثمانين ومائة ومات سنة ثمان، وقال ابن قانع: سنة تسع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2026-08-05T18:54:02+03:00</dcterms:created>
  <dcterms:modified xsi:type="dcterms:W3CDTF">2026-08-05T18:54:02+03:00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