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الحكم.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الحكم.
</w:t>
      </w:r>
    </w:p>
    <w:p>
      <w:pPr/>
      <w:r>
        <w:rPr/>
        <w:t xml:space="preserve">محمد بن عبد اللَّه بن الحكم. </w:t>
      </w:r>
    </w:p>
    <w:p/>
    <w:p>
      <w:pPr/>
      <w:r>
        <w:rPr/>
        <w:t xml:space="preserve">صاحب الشافعي، ثم انتقل إلى مذهب مالك، ولد سنة اثنتين وثمانين ومائة ومات سنة ثمان، وقال ابن قانع: سنة تسع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2026-10-08T05:16:41+03:00</dcterms:created>
  <dcterms:modified xsi:type="dcterms:W3CDTF">2026-10-08T05:16:41+03:00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