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عصام بن يوسف.
</w:t>
      </w:r>
    </w:p>
    <w:p>
      <w:pPr>
        <w:jc w:val="start"/>
        <w:bidi/>
      </w:pPr>
      <w:r>
        <w:rPr>
          <w:rFonts w:ascii="arial" w:hAnsi="arial" w:eastAsia="arial" w:cs="arial"/>
          <w:sz w:val="28"/>
          <w:szCs w:val="28"/>
          <w:b w:val="1"/>
          <w:bCs w:val="1"/>
          <w:rtl/>
        </w:rPr>
        <w:t xml:space="preserve">عصام بن يوسف.
</w:t>
      </w:r>
    </w:p>
    <w:p>
      <w:pPr/>
      <w:r>
        <w:rPr/>
        <w:t xml:space="preserve">عصام بن يوسف. </w:t>
      </w:r>
    </w:p>
    <w:p/>
    <w:p>
      <w:pPr/>
      <w:r>
        <w:rPr/>
        <w:t xml:space="preserve">ذكر الرافعي في الوصايا أنَّه روى عن الشافعي قولاً: إن ما أوصى به إلى الفقراء إلا يجوز صرفه التي المسكين ويجوز عكسه، وذكر النووي في ’’تهذيبه’’ ولم يزد، وينبغي أن يعلم أن هذا ليس من أصحابنا وإنما هو من أئمة الحنفية. وقد ذكره العبادي أيضاً في ’’طبقاته’’ لأجل هذه الحكاية فقط.</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2026-10-08T05:16:05+03:00</dcterms:created>
  <dcterms:modified xsi:type="dcterms:W3CDTF">2026-10-08T05:16:05+03:00</dcterms:modified>
</cp:coreProperties>
</file>

<file path=docProps/custom.xml><?xml version="1.0" encoding="utf-8"?>
<Properties xmlns="http://schemas.openxmlformats.org/officeDocument/2006/custom-properties" xmlns:vt="http://schemas.openxmlformats.org/officeDocument/2006/docPropsVTypes"/>
</file>