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هانئ بنت القاضي شهاب الدين أحمد بن ظهيرة القرشية المخزومية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هانئ بنت القاضي شهاب الدين أحمد بن ظهيرة القرشية المخزومية المكية
</w:t>
      </w:r>
    </w:p>
    <w:p>
      <w:pPr/>
      <w:r>
        <w:rPr/>
        <w:t xml:space="preserve">أم هانئ بنت القاضي شهاب الدين أحمد بن ظهيرة، القرشية المخزومية المكية: </w:t>
      </w:r>
    </w:p>
    <w:p/>
    <w:p>
      <w:pPr/>
      <w:r>
        <w:rPr/>
        <w:t xml:space="preserve">كانت زوجا لعمر بن حسين بن علي بن ظهيرة وولدت له أحمد، وماتت عنده في سنة تسع وتسعين وسبعمائة بمكة، ودفنت بالمعلاة.</w:t>
      </w:r>
    </w:p>
    <w:p/>
    <w:p>
      <w:pPr/>
      <w:r>
        <w:rPr/>
        <w:t xml:space="preserve">وأمها فاطمة بنت القاضي تقي الدين الحرازي. ولم تبلغ الثلاثين.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2026-10-08T05:56:19+03:00</dcterms:created>
  <dcterms:modified xsi:type="dcterms:W3CDTF">2026-10-08T05:56:19+03:00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