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نصيرة بنت الشريف مبارك بن رميثة بن أبي نمى الحسنية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نصيرة بنت الشريف مبارك بن رميثة بن أبي نمى الحسنية المكية
</w:t>
      </w:r>
    </w:p>
    <w:p>
      <w:pPr/>
      <w:r>
        <w:rPr/>
        <w:t xml:space="preserve">نصيرة بنت الشريف مبارك بن رميثة بن أبي نمى الحسنية المكية: </w:t>
      </w:r>
    </w:p>
    <w:p/>
    <w:p>
      <w:pPr/>
      <w:r>
        <w:rPr/>
        <w:t xml:space="preserve">كانت زوجا للشريف عنان بن مغامس بن رميثة، وولد له منها ابنته فاطمة. وكانت ذات خير ودين وعبادة.</w:t>
      </w:r>
    </w:p>
    <w:p/>
    <w:p>
      <w:pPr/>
      <w:r>
        <w:rPr/>
        <w:t xml:space="preserve">وتوفيت في آخر سنة اثنتي عشرة وثمانمائة، بعد الحج،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2026-10-08T06:59:45+03:00</dcterms:created>
  <dcterms:modified xsi:type="dcterms:W3CDTF">2026-10-08T06:59:45+03:00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