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الخطيب تقي الدين عبد الله بن الشيخ محب الدين أحمد ابن عبد الله الطبري المكية
</w:t>
      </w:r>
    </w:p>
    <w:p>
      <w:pPr>
        <w:jc w:val="start"/>
        <w:bidi/>
      </w:pPr>
      <w:r>
        <w:rPr>
          <w:rFonts w:ascii="arial" w:hAnsi="arial" w:eastAsia="arial" w:cs="arial"/>
          <w:sz w:val="28"/>
          <w:szCs w:val="28"/>
          <w:b w:val="1"/>
          <w:bCs w:val="1"/>
          <w:rtl/>
        </w:rPr>
        <w:t xml:space="preserve">فاطمة بنت الخطيب تقي الدين عبد الله بن الشيخ محب الدين أحمد ابن عبد الله الطبري المكية
</w:t>
      </w:r>
    </w:p>
    <w:p>
      <w:pPr/>
      <w:r>
        <w:rPr/>
        <w:t xml:space="preserve">فاطمة بنت الخطيب تقي الدين عبد الله بن الشيخ محب الدين أحمد ابن عبد الله الطبري، المكية: </w:t>
      </w:r>
    </w:p>
    <w:p/>
    <w:p>
      <w:pPr/>
      <w:r>
        <w:rPr/>
        <w:t xml:space="preserve">أم محمد، ذكر الآقشهرى أن القاضيين تقي الدين رزين الحموي، وشمس الدين بن العماد المقدسي، وأبا اليمن بن عساكر، أجازوا لها باستدعاء القطب القسطلاني، في سنة أربع وستين وستمائة، وخرج لها ولمن شاركها في إجازتهم أربعين حديثا، في سنة ست وثلاثين وسبعمائة.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2026-08-05T17:04:37+03:00</dcterms:created>
  <dcterms:modified xsi:type="dcterms:W3CDTF">2026-08-05T17:04:37+03:00</dcterms:modified>
</cp:coreProperties>
</file>

<file path=docProps/custom.xml><?xml version="1.0" encoding="utf-8"?>
<Properties xmlns="http://schemas.openxmlformats.org/officeDocument/2006/custom-properties" xmlns:vt="http://schemas.openxmlformats.org/officeDocument/2006/docPropsVTypes"/>
</file>