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أحمد بن ظهيرة بن أحمد بن عطية بن ظهيرة
</w:t>
      </w:r>
    </w:p>
    <w:p>
      <w:pPr>
        <w:jc w:val="start"/>
        <w:bidi/>
      </w:pPr>
      <w:r>
        <w:rPr>
          <w:rFonts w:ascii="arial" w:hAnsi="arial" w:eastAsia="arial" w:cs="arial"/>
          <w:sz w:val="28"/>
          <w:szCs w:val="28"/>
          <w:b w:val="1"/>
          <w:bCs w:val="1"/>
          <w:rtl/>
        </w:rPr>
        <w:t xml:space="preserve">فاطمة بنت أحمد بن ظهيرة بن أحمد بن عطية بن ظهيرة
</w:t>
      </w:r>
    </w:p>
    <w:p>
      <w:pPr/>
      <w:r>
        <w:rPr/>
        <w:t xml:space="preserve">فاطمة بنت أحمد بن ظهيرة بن أحمد بن عطية بن ظهيرة: </w:t>
      </w:r>
    </w:p>
    <w:p/>
    <w:p>
      <w:pPr/>
      <w:r>
        <w:rPr/>
        <w:t xml:space="preserve">أم الحسين بنت القاضي شهاب الدين، القرشية المكية.</w:t>
      </w:r>
    </w:p>
    <w:p/>
    <w:p>
      <w:pPr/>
      <w:r>
        <w:rPr/>
        <w:t xml:space="preserve">أجاز لها باستدعاء أمها في سنة ست وخمسين وسبعمائة المفتي محمد بن يعقوب بن رصاص، والقطب محمد بن علي القطرواني، والقاضي ناصر الدين محمد بن محمد التونسي، وأبو الحرم محمد بن محمد بن محمد القلانسي، وآخرون، مع إخواتها أبي الفضل محمد، وعلماء، وأم كمال عائشة، وما علمتها حدثت.</w:t>
      </w:r>
    </w:p>
    <w:p/>
    <w:p>
      <w:pPr/>
      <w:r>
        <w:rPr/>
        <w:t xml:space="preserve">وتوفيت في مستهل جمادى الآخر سنة سبع وتسعين وسبعمائة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2026-10-08T07:32:56+03:00</dcterms:created>
  <dcterms:modified xsi:type="dcterms:W3CDTF">2026-10-08T07:32:56+03:00</dcterms:modified>
</cp:coreProperties>
</file>

<file path=docProps/custom.xml><?xml version="1.0" encoding="utf-8"?>
<Properties xmlns="http://schemas.openxmlformats.org/officeDocument/2006/custom-properties" xmlns:vt="http://schemas.openxmlformats.org/officeDocument/2006/docPropsVTypes"/>
</file>