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الصفي أحمد بن محمد بن إبراهيم بن أبي بكر الطبري المكية
</w:t>
      </w:r>
    </w:p>
    <w:p>
      <w:pPr>
        <w:jc w:val="start"/>
        <w:bidi/>
      </w:pPr>
      <w:r>
        <w:rPr>
          <w:rFonts w:ascii="arial" w:hAnsi="arial" w:eastAsia="arial" w:cs="arial"/>
          <w:sz w:val="28"/>
          <w:szCs w:val="28"/>
          <w:b w:val="1"/>
          <w:bCs w:val="1"/>
          <w:rtl/>
        </w:rPr>
        <w:t xml:space="preserve">فاطمة بنت الصفي أحمد بن محمد بن إبراهيم بن أبي بكر الطبري المكية
</w:t>
      </w:r>
    </w:p>
    <w:p>
      <w:pPr/>
      <w:r>
        <w:rPr/>
        <w:t xml:space="preserve">فاطمة بنت الصفي أحمد بن محمد بن إبراهيم بن أبي بكر الطبري، المكية: </w:t>
      </w:r>
    </w:p>
    <w:p/>
    <w:p>
      <w:pPr/>
      <w:r>
        <w:rPr/>
        <w:t xml:space="preserve">ذكر الآقشهرى أن القاضي تقي الدين محمد بن الحسين الأزدي الشافعي، والقاضي شمس الدين أبا بكر محمد بن العماد إبراهيم المقدسي، وأبا اليمن بن عساكر، أجازوا لها ولجماعة، في سنة أربع وسبعين وستمائة، باستدعاء القطب القسطلاني، وخرج لها ولمن شاركها في الإجازة أربعين حديثا، في سنة وثلاثين وسبعمائة وما علمت متى ماتت.</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2026-08-05T17:17:12+03:00</dcterms:created>
  <dcterms:modified xsi:type="dcterms:W3CDTF">2026-08-05T17:17:12+03:00</dcterms:modified>
</cp:coreProperties>
</file>

<file path=docProps/custom.xml><?xml version="1.0" encoding="utf-8"?>
<Properties xmlns="http://schemas.openxmlformats.org/officeDocument/2006/custom-properties" xmlns:vt="http://schemas.openxmlformats.org/officeDocument/2006/docPropsVTypes"/>
</file>