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أمير مكة الشريف أحمد بن عجلان بن رميثة بن أبي نمى الحسنية المكية
</w:t>
      </w:r>
    </w:p>
    <w:p>
      <w:pPr>
        <w:jc w:val="start"/>
        <w:bidi/>
      </w:pPr>
      <w:r>
        <w:rPr>
          <w:rFonts w:ascii="arial" w:hAnsi="arial" w:eastAsia="arial" w:cs="arial"/>
          <w:sz w:val="28"/>
          <w:szCs w:val="28"/>
          <w:b w:val="1"/>
          <w:bCs w:val="1"/>
          <w:rtl/>
        </w:rPr>
        <w:t xml:space="preserve">فاطمة بنت أمير مكة الشريف أحمد بن عجلان بن رميثة بن أبي نمى الحسنية المكية
</w:t>
      </w:r>
    </w:p>
    <w:p>
      <w:pPr/>
      <w:r>
        <w:rPr/>
        <w:t xml:space="preserve">فاطمة بنت أمير مكة الشريف أحمد بن عجلان بن رميثة بن أبي نمى، الحسنية المكية: </w:t>
      </w:r>
    </w:p>
    <w:p/>
    <w:p>
      <w:pPr/>
      <w:r>
        <w:rPr/>
        <w:t xml:space="preserve">كان الشريف محمد بن محمود بن أحمد بن رميثة تزوجها في حياة أبيها، ثم طلقها، وتزوجها بعده الشريف عنان بن مغامس بن رميثة، في إمارته الثانية على مكة، وذلك في آخر سنة اثنتين وتسعين، أو سنة ثلاث وتسعين، ومات عنها، ثم زوجها عمها الشريف حسن بن عجلان، على ابنه الشريف بركات بن حسن، فماتت عنده، بعد أن أقامت في عصمته سنين قليلة.</w:t>
      </w:r>
    </w:p>
    <w:p/>
    <w:p>
      <w:pPr/>
      <w:r>
        <w:rPr/>
        <w:t xml:space="preserve">وكانت ذات حشمة ورياسة وعقار كثير. وتوفيت في سنة أربع عشرة وثمانمائة بمكة، ودفنت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2026-10-08T07:40:35+03:00</dcterms:created>
  <dcterms:modified xsi:type="dcterms:W3CDTF">2026-10-08T07:40:35+03:00</dcterms:modified>
</cp:coreProperties>
</file>

<file path=docProps/custom.xml><?xml version="1.0" encoding="utf-8"?>
<Properties xmlns="http://schemas.openxmlformats.org/officeDocument/2006/custom-properties" xmlns:vt="http://schemas.openxmlformats.org/officeDocument/2006/docPropsVTypes"/>
</file>