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بنت الشريف أحمد بن رميثة بن أبي نمى الحسنية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الشريف أحمد بن رميثة بن أبي نمى الحسنية المكية
</w:t>
      </w:r>
    </w:p>
    <w:p>
      <w:pPr/>
      <w:r>
        <w:rPr/>
        <w:t xml:space="preserve">فاطمة بنت الشريف أحمد بن رميثة بن أبي نمى، الحسنية المكية: </w:t>
      </w:r>
    </w:p>
    <w:p/>
    <w:p>
      <w:pPr/>
      <w:r>
        <w:rPr/>
        <w:t xml:space="preserve">كانت زوجا للشريف عنان بن مغامس بن رميثة، وطلقها [ ..... ] وتوفيت.</w:t>
      </w:r>
    </w:p>
    <w:p/>
    <w:p>
      <w:pPr/>
      <w:r>
        <w:rPr/>
        <w:t xml:space="preserve">ظنا غالبا في ربيع الأول سنة إحدى عشرة وثمانمائة، بمكة ودفنت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2026-08-05T17:16:37+03:00</dcterms:created>
  <dcterms:modified xsi:type="dcterms:W3CDTF">2026-08-05T17:16:37+03:00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