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الشريف أبي عبد الله محمد بن محمد بن عبد الرحمن الحسني الفاسي أم الهدى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الشريف أبي عبد الله محمد بن محمد بن عبد الرحمن الحسني الفاسي أم الهدى المكية
</w:t>
      </w:r>
    </w:p>
    <w:p>
      <w:pPr/>
      <w:r>
        <w:rPr/>
        <w:t xml:space="preserve">فاطمة بنت الشريف أبي عبد الله محمد بن محمد بن عبد الرحمن الحسني الفاسي، أم الهدى المكية: </w:t>
      </w:r>
    </w:p>
    <w:p/>
    <w:p>
      <w:pPr/>
      <w:r>
        <w:rPr/>
        <w:t xml:space="preserve">سمعت من التوزري، والصفي، والرضى، وغيرهم.</w:t>
      </w:r>
    </w:p>
    <w:p/>
    <w:p>
      <w:pPr/>
      <w:r>
        <w:rPr/>
        <w:t xml:space="preserve">وأجاز لها جماعة من مصر أنها كانت حية في سبع سبع وعشرين وسبعمائة. ومولدها في ذي الحجة سنة سبعمائة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2026-10-08T08:13:38+03:00</dcterms:created>
  <dcterms:modified xsi:type="dcterms:W3CDTF">2026-10-08T08:13:38+03:00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