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الرضى محمد بن الإمام شهاب الدين أحمد بن الرضى إبراهيم الطبري
</w:t>
      </w:r>
    </w:p>
    <w:p>
      <w:pPr>
        <w:jc w:val="start"/>
        <w:bidi/>
      </w:pPr>
      <w:r>
        <w:rPr>
          <w:rFonts w:ascii="arial" w:hAnsi="arial" w:eastAsia="arial" w:cs="arial"/>
          <w:sz w:val="28"/>
          <w:szCs w:val="28"/>
          <w:b w:val="1"/>
          <w:bCs w:val="1"/>
          <w:rtl/>
        </w:rPr>
        <w:t xml:space="preserve">فاطمة بنت الرضى محمد بن الإمام شهاب الدين أحمد بن الرضى إبراهيم الطبري
</w:t>
      </w:r>
    </w:p>
    <w:p>
      <w:pPr/>
      <w:r>
        <w:rPr/>
        <w:t xml:space="preserve">فاطمة بنت الرضى محمد بن الإمام شهاب الدين أحمد بن الرضى إبراهيم الطبري، إمام المقام بالمسجد الحرام، أم الأمان المكية: </w:t>
      </w:r>
    </w:p>
    <w:p/>
    <w:p>
      <w:pPr/>
      <w:r>
        <w:rPr/>
        <w:t xml:space="preserve">تزوجها عبد الهادي بن الشيخ عبد الله اليافعي، ثم بانت منه؛ لظهور محرمية بينهما، وله فيها مدح. ثم تزوجها القاضي محب الدين النويري، وأولدها عدة أولاد منهم أم الحسين، ثم طلقها. ثم تزوجها عمر بن عبد الله بن ظهيرة، ثم طلقها، ولم تتزوج بعده حتى ماتت في رمضان، سنة عشرين وثمانمائة ليلا بضيق النفس، ولم يشعر أحد بموتها وقت ماتت، وإنما عرف موتها بعد.</w:t>
      </w:r>
    </w:p>
    <w:p/>
    <w:p>
      <w:pPr/>
      <w:r>
        <w:rPr/>
        <w:t xml:space="preserve">وهي صهرتى أم زوجتى أم الحسين بنت القاضي محب الدين النويري. وفيها خير وعقل.</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2026-08-05T17:22:51+03:00</dcterms:created>
  <dcterms:modified xsi:type="dcterms:W3CDTF">2026-08-05T17:22:51+03:00</dcterms:modified>
</cp:coreProperties>
</file>

<file path=docProps/custom.xml><?xml version="1.0" encoding="utf-8"?>
<Properties xmlns="http://schemas.openxmlformats.org/officeDocument/2006/custom-properties" xmlns:vt="http://schemas.openxmlformats.org/officeDocument/2006/docPropsVTypes"/>
</file>