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القاضي تقي الدين محمد بن أحمد بن قاسم الحرازي المكية
</w:t>
      </w:r>
    </w:p>
    <w:p>
      <w:pPr>
        <w:jc w:val="start"/>
        <w:bidi/>
      </w:pPr>
      <w:r>
        <w:rPr>
          <w:rFonts w:ascii="arial" w:hAnsi="arial" w:eastAsia="arial" w:cs="arial"/>
          <w:sz w:val="28"/>
          <w:szCs w:val="28"/>
          <w:b w:val="1"/>
          <w:bCs w:val="1"/>
          <w:rtl/>
        </w:rPr>
        <w:t xml:space="preserve">فاطمة بنت القاضي تقي الدين محمد بن أحمد بن قاسم الحرازي المكية
</w:t>
      </w:r>
    </w:p>
    <w:p>
      <w:pPr/>
      <w:r>
        <w:rPr/>
        <w:t xml:space="preserve">فاطمة بنت القاضي تقي الدين محمد بن أحمد بن قاسم الحرازي، المكية: </w:t>
      </w:r>
    </w:p>
    <w:p/>
    <w:p>
      <w:pPr/>
      <w:r>
        <w:rPr/>
        <w:t xml:space="preserve">كانت زوجا لنجم الدين بن القاضي شهاب الدين أحمد الطبري، ومات عنها. وتزوجها بعده القاضي شهاب الدين أحمد بن ظهيرة، وولد له منها ثنتان، هما أم هانئ وأم الهدى، ومات عنها.</w:t>
      </w:r>
    </w:p>
    <w:p/>
    <w:p>
      <w:pPr/>
      <w:r>
        <w:rPr/>
        <w:t xml:space="preserve">وتوفيت في ضحى يوم الثلاثاء، سادس عشر رمضان، سنة ثمان عشرة وثمانمائة بمكة. انتهى. وصلى عليها عصر يومها، عند باب الكعبة، ودفنت بمقبرتهم بالمعلاة.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2026-10-08T08:12:14+03:00</dcterms:created>
  <dcterms:modified xsi:type="dcterms:W3CDTF">2026-10-08T08:12:14+03:00</dcterms:modified>
</cp:coreProperties>
</file>

<file path=docProps/custom.xml><?xml version="1.0" encoding="utf-8"?>
<Properties xmlns="http://schemas.openxmlformats.org/officeDocument/2006/custom-properties" xmlns:vt="http://schemas.openxmlformats.org/officeDocument/2006/docPropsVTypes"/>
</file>