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الإمام تقي الدين علي بن أبي بكر بن محمد بن إبراهيم الطبري المكي
</w:t>
      </w:r>
    </w:p>
    <w:p>
      <w:pPr>
        <w:jc w:val="start"/>
        <w:bidi/>
      </w:pPr>
      <w:r>
        <w:rPr>
          <w:rFonts w:ascii="arial" w:hAnsi="arial" w:eastAsia="arial" w:cs="arial"/>
          <w:sz w:val="28"/>
          <w:szCs w:val="28"/>
          <w:b w:val="1"/>
          <w:bCs w:val="1"/>
          <w:rtl/>
        </w:rPr>
        <w:t xml:space="preserve">خديجة بنت الإمام تقي الدين علي بن أبي بكر بن محمد بن إبراهيم الطبري المكي
</w:t>
      </w:r>
    </w:p>
    <w:p>
      <w:pPr/>
      <w:r>
        <w:rPr/>
        <w:t xml:space="preserve">خديجة بنت الإمام تقي الدين علي بن أبي بكر بن محمد بن إبراهيم الطبري المكي: </w:t>
      </w:r>
    </w:p>
    <w:p/>
    <w:p>
      <w:pPr/>
      <w:r>
        <w:rPr/>
        <w:t xml:space="preserve">أم مفضل المكية، تروى بالإجازة عن يونس بن يحيى، وزاهر بن رستم، وأبي عبد الله محمد بن إبراهيم بن أبي الصيف، وأبي عبد الله محمد بن عبد الله بن موهوب بن البنا البغدادي، وشيخ الحرم يحيى بن ياقوت، وأبي الفتوح نصر بن أبي الفرج الحصري وخرج لها، وحدثت.</w:t>
      </w:r>
    </w:p>
    <w:p/>
    <w:p>
      <w:pPr/>
      <w:r>
        <w:rPr/>
        <w:t xml:space="preserve">ولم أدر متى ماتت، إلا أنها كانت حية في سنة خمس وأربعين وستمائة.</w:t>
      </w:r>
    </w:p>
    <w:p/>
    <w:p>
      <w:pPr/>
      <w:r>
        <w:rPr/>
        <w:t xml:space="preserve">وكان أبوها إمام المقام وخطيب المسجد الحرام.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2026-08-05T17:29:37+03:00</dcterms:created>
  <dcterms:modified xsi:type="dcterms:W3CDTF">2026-08-05T17:29:37+03:00</dcterms:modified>
</cp:coreProperties>
</file>

<file path=docProps/custom.xml><?xml version="1.0" encoding="utf-8"?>
<Properties xmlns="http://schemas.openxmlformats.org/officeDocument/2006/custom-properties" xmlns:vt="http://schemas.openxmlformats.org/officeDocument/2006/docPropsVTypes"/>
</file>