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مجلي
</w:t>
      </w:r>
    </w:p>
    <w:p>
      <w:pPr/>
      <w:r>
        <w:rPr/>
        <w:t xml:space="preserve">ابن مجلي: </w:t>
      </w:r>
    </w:p>
    <w:p/>
    <w:p>
      <w:pPr/>
      <w:r>
        <w:rPr/>
        <w:t xml:space="preserve">وجدت في التاريخ المذكور: أن السلطان الملك الكامل صاحب مصر لما عزل</w:t>
      </w:r>
    </w:p>
    <w:p/>
    <w:p>
      <w:pPr/>
      <w:r>
        <w:rPr/>
        <w:t xml:space="preserve">طغتكين متولى مكة من قبله، لإساءته إلى أهلها أرسل أميرا غيره يقال له ابن مجلى، فوصل إلى مكة في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2026-08-05T13:04:18+03:00</dcterms:created>
  <dcterms:modified xsi:type="dcterms:W3CDTF">2026-08-05T13:04:18+03:00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