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التعزي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التعزي
</w:t>
      </w:r>
    </w:p>
    <w:p>
      <w:pPr/>
      <w:r>
        <w:rPr/>
        <w:t xml:space="preserve">ابن التعزي: </w:t>
      </w:r>
    </w:p>
    <w:p/>
    <w:p>
      <w:pPr/>
      <w:r>
        <w:rPr/>
        <w:t xml:space="preserve">وجدت في تاريخ لبعض العصريين: أن الملك المنصور، صاحب اليمن تركه بمكة مع ابن الوليدى لما توجه من مكة في سنة ست وثلاثين وستمائة، وأنهما أقاما بمكة حتى انقضت هذه السنة.</w:t>
      </w:r>
    </w:p>
    <w:p/>
    <w:p>
      <w:pPr/>
      <w:r>
        <w:rPr/>
        <w:t xml:space="preserve">ووجدت في التاريخ المذكور: أن الملك المظفر بن المنصور أمر في سنة ست وستين وستمائة بتحلية باب الكعبة على يد ابن التعزى، وأظنه المذكور.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2026-10-08T10:14:01+03:00</dcterms:created>
  <dcterms:modified xsi:type="dcterms:W3CDTF">2026-10-08T10:14:01+03:00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