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النسوى ثلاثة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النسوى ثلاثة
</w:t>
      </w:r>
    </w:p>
    <w:p>
      <w:pPr/>
      <w:r>
        <w:rPr/>
        <w:t xml:space="preserve">النسوى، ثلاثة: </w:t>
      </w:r>
    </w:p>
    <w:p/>
    <w:p>
      <w:pPr/>
      <w:r>
        <w:rPr/>
        <w:t xml:space="preserve">الأول: الحافظ أبو عبد الرحمن أحمد بن شعيب، صاحب «السنن».</w:t>
      </w:r>
    </w:p>
    <w:p/>
    <w:p>
      <w:pPr/>
      <w:r>
        <w:rPr/>
        <w:t xml:space="preserve">والثاني: أحمد بن محمد بن زكريا النسوى أبو العباس، شيخ الحرم.</w:t>
      </w:r>
    </w:p>
    <w:p/>
    <w:p>
      <w:pPr/>
      <w:r>
        <w:rPr/>
        <w:t xml:space="preserve">والثالث: عمر بن الحسين النسوى. تقدموا.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2026-10-08T10:14:27+03:00</dcterms:created>
  <dcterms:modified xsi:type="dcterms:W3CDTF">2026-10-08T10:14:27+03:00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