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الشلاح
</w:t>
      </w:r>
    </w:p>
    <w:p>
      <w:pPr/>
      <w:r>
        <w:rPr/>
        <w:t xml:space="preserve">الشلاح: </w:t>
      </w:r>
    </w:p>
    <w:p/>
    <w:p>
      <w:pPr/>
      <w:r>
        <w:rPr/>
        <w:t xml:space="preserve">أمير مكة، هو مملوك صاحب اليمن الملك المنصور نور الدين عمر بن علي.</w:t>
      </w:r>
    </w:p>
    <w:p/>
    <w:p>
      <w:pPr/>
      <w:r>
        <w:rPr/>
        <w:t xml:space="preserve">يأتي - إن شاء الله تعالى - ذكره أبسط من هذا في الفصل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2026-10-08T11:12:22+03:00</dcterms:created>
  <dcterms:modified xsi:type="dcterms:W3CDTF">2026-10-08T11:12:22+03:00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