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جوبكار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جوبكار المقرئ
</w:t>
      </w:r>
    </w:p>
    <w:p>
      <w:pPr/>
      <w:r>
        <w:rPr/>
        <w:t xml:space="preserve">جوبكار المقرئ: </w:t>
      </w:r>
    </w:p>
    <w:p/>
    <w:p>
      <w:pPr/>
      <w:r>
        <w:rPr/>
        <w:t xml:space="preserve">هو محمد بن أحمد بن حسن السجزي.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