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منعة اثنان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منعة اثنان
</w:t>
      </w:r>
    </w:p>
    <w:p>
      <w:pPr/>
      <w:r>
        <w:rPr/>
        <w:t xml:space="preserve">ابن منعة، اثنان: </w:t>
      </w:r>
    </w:p>
    <w:p/>
    <w:p>
      <w:pPr/>
      <w:r>
        <w:rPr/>
        <w:t xml:space="preserve">هما: العفيف منصور بن أبي الفضل البغدادي.</w:t>
      </w:r>
    </w:p>
    <w:p/>
    <w:p>
      <w:pPr/>
      <w:r>
        <w:rPr/>
        <w:t xml:space="preserve">والآخر: ابن أخيه الظهير محمد بن عبد الله. تقدما.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2026-08-05T21:10:35+03:00</dcterms:created>
  <dcterms:modified xsi:type="dcterms:W3CDTF">2026-08-05T21:10:35+03:00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