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الفخار اثنان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الفخار اثنان
</w:t>
      </w:r>
    </w:p>
    <w:p>
      <w:pPr/>
      <w:r>
        <w:rPr/>
        <w:t xml:space="preserve">ابن الفخار، اثنان: </w:t>
      </w:r>
    </w:p>
    <w:p/>
    <w:p>
      <w:pPr/>
      <w:r>
        <w:rPr/>
        <w:t xml:space="preserve">أحدهما: أبو نصر محمد بن إبراهيم الأصبهاني.</w:t>
      </w:r>
    </w:p>
    <w:p/>
    <w:p>
      <w:pPr/>
      <w:r>
        <w:rPr/>
        <w:t xml:space="preserve">والآخر: أبو عبد الله محمد بن محمد بن ميمون الجزائري. تقدما.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2026-08-05T17:00:59+03:00</dcterms:created>
  <dcterms:modified xsi:type="dcterms:W3CDTF">2026-08-05T17:00:59+03:00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