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العرجاء اثنان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العرجاء اثنان
</w:t>
      </w:r>
    </w:p>
    <w:p>
      <w:pPr/>
      <w:r>
        <w:rPr/>
        <w:t xml:space="preserve">ابن العرجاء، اثنان: </w:t>
      </w:r>
    </w:p>
    <w:p/>
    <w:p>
      <w:pPr/>
      <w:r>
        <w:rPr/>
        <w:t xml:space="preserve">أحدهما: أبو محمد عبد الله بن عمر بن علي القيروانى، إمام مقام الخليل عليه السلام.</w:t>
      </w:r>
    </w:p>
    <w:p/>
    <w:p>
      <w:pPr/>
      <w:r>
        <w:rPr/>
        <w:t xml:space="preserve">والآخر: ابنه أبو على حسن المقرئ مكة. تقدما.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2026-08-05T22:15:40+03:00</dcterms:created>
  <dcterms:modified xsi:type="dcterms:W3CDTF">2026-08-05T22:15:40+03:00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