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الحميد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الحميد اثنان
</w:t>
      </w:r>
    </w:p>
    <w:p>
      <w:pPr/>
      <w:r>
        <w:rPr/>
        <w:t xml:space="preserve">ابن عبد الحميد، اثنان: </w:t>
      </w:r>
    </w:p>
    <w:p/>
    <w:p>
      <w:pPr/>
      <w:r>
        <w:rPr/>
        <w:t xml:space="preserve">أحدهما: المحدث عز الدين أبو بكر محمد بن عبد الحميد القرشي المصري، نزيل مكة.</w:t>
      </w:r>
    </w:p>
    <w:p/>
    <w:p>
      <w:pPr/>
      <w:r>
        <w:rPr/>
        <w:t xml:space="preserve">والآخر: تقي الدين محمد بن إبراهيم بن عبد الحميد بن علي الموغانى المدني الأصم.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2026-10-08T12:26:30+03:00</dcterms:created>
  <dcterms:modified xsi:type="dcterms:W3CDTF">2026-10-08T12:26:30+03:00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