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تقي ابن السيد نقي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تقي ابن السيد نقي القزويني
</w:t>
      </w:r>
    </w:p>
    <w:p>
      <w:pPr/>
      <w:r>
        <w:rPr/>
        <w:t xml:space="preserve">السيد تقي ابن السيد نقي القزويني عالم كامل صاحب مقامات عالية وكرامات باهرة وعن كتاب المآثر و الآثار أنه كان من أجلة العلماء ومن جملة الأولياء يضرب به المثل في التقوى له ألفية في النحو مطلعها:</w:t>
      </w:r>
    </w:p>
    <w:p/>
    <w:p>
      <w:pPr>
        <w:jc w:val="center"/>
      </w:pPr>
      <w:r>
        <w:rPr>
          <w:color w:val="ff0000"/>
        </w:rPr>
        <w:t xml:space="preserve">قال التقي بن النقي بن الرضا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مفتخرا بالمصطفى والمرتضى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2026-07-27T23:29:46+03:00</dcterms:created>
  <dcterms:modified xsi:type="dcterms:W3CDTF">2026-07-27T23:29:46+03:00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