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زين الدين بن الأنصاري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زين الدين بن الأنصاري
</w:t>
      </w:r>
    </w:p>
    <w:p>
      <w:pPr/>
      <w:r>
        <w:rPr/>
        <w:t xml:space="preserve">زين الدين بن الأنصاري: </w:t>
      </w:r>
    </w:p>
    <w:p/>
    <w:p>
      <w:pPr/>
      <w:r>
        <w:rPr/>
        <w:t xml:space="preserve">قاضي دمنهور، هو محمد بن أحمد بن هبة الله. تقدم.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2026-08-05T19:59:15+03:00</dcterms:created>
  <dcterms:modified xsi:type="dcterms:W3CDTF">2026-08-05T19:59:15+03:00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