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الحرازي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الحرازي آخر
</w:t>
      </w:r>
    </w:p>
    <w:p>
      <w:pPr/>
      <w:r>
        <w:rPr/>
        <w:t xml:space="preserve">تقي الدين الحرازي، آخر: </w:t>
      </w:r>
    </w:p>
    <w:p/>
    <w:p>
      <w:pPr/>
      <w:r>
        <w:rPr/>
        <w:t xml:space="preserve">هو حفيد الأول، هو محمد بن عبد الله بن التقى.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