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أبو محمد الأنماطي
</w:t>
      </w:r>
    </w:p>
    <w:p>
      <w:pPr>
        <w:jc w:val="start"/>
        <w:bidi/>
      </w:pPr>
      <w:r>
        <w:rPr>
          <w:rFonts w:ascii="arial" w:hAnsi="arial" w:eastAsia="arial" w:cs="arial"/>
          <w:sz w:val="28"/>
          <w:szCs w:val="28"/>
          <w:b w:val="1"/>
          <w:bCs w:val="1"/>
          <w:rtl/>
        </w:rPr>
        <w:t xml:space="preserve">أبو محمد الأنماطي
</w:t>
      </w:r>
    </w:p>
    <w:p>
      <w:pPr/>
      <w:r>
        <w:rPr/>
        <w:t xml:space="preserve">أبو محمد الأنماطي: </w:t>
      </w:r>
    </w:p>
    <w:p/>
    <w:p>
      <w:pPr/>
      <w:r>
        <w:rPr/>
        <w:t xml:space="preserve">توفى في سنة اثنتين وسبعين وأربعمائة، شهيدا في وقعة لأهل السنة. وكان سبب ذلك أن بعض الروافض شكا إلى أمير مكة ابن أبي هاشم أن أهل السنة يبغضونهم وينالون منهم، فأخذ هو وأبو الفضل بن قوام، وهياج الحطينى، وضربوا، فمات هو وابن قوام في الحال، وبقى هياج أياما ثم مات. انتهى.</w:t>
      </w:r>
    </w:p>
    <w:p>
      <w:pPr>
        <w:jc w:val="start"/>
        <w:bidi/>
      </w:pPr>
      <w:r>
        <w:rPr>
          <w:sz w:val="24"/>
          <w:szCs w:val="24"/>
          <w:b w:val="1"/>
          <w:bCs w:val="1"/>
          <w:rtl/>
        </w:rPr>
        <w:t xml:space="preserve">
العقد الثمين فى تاريخ البلد الأمين،(دار الكتب العلمية، بيروت - لبنان،1998،ط 1،ج 6،ص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2026-10-08T16:25:32+03:00</dcterms:created>
  <dcterms:modified xsi:type="dcterms:W3CDTF">2026-10-08T16:25:32+03:00</dcterms:modified>
</cp:coreProperties>
</file>

<file path=docProps/custom.xml><?xml version="1.0" encoding="utf-8"?>
<Properties xmlns="http://schemas.openxmlformats.org/officeDocument/2006/custom-properties" xmlns:vt="http://schemas.openxmlformats.org/officeDocument/2006/docPropsVTypes"/>
</file>