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السلمى الجدي الأعمي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السلمى الجدي الأعمي
</w:t>
      </w:r>
    </w:p>
    <w:p>
      <w:pPr/>
      <w:r>
        <w:rPr/>
        <w:t xml:space="preserve">أبو عبد الرحمن السلمى الجدي الأعمي: </w:t>
      </w:r>
    </w:p>
    <w:p/>
    <w:p>
      <w:pPr/>
      <w:r>
        <w:rPr/>
        <w:t xml:space="preserve">من أصحاب عبد الله. وكان يقرى في زمان عثمان، إلى زمان الحجاج، وقرأ على</w:t>
      </w:r>
    </w:p>
    <w:p/>
    <w:p>
      <w:pPr/>
      <w:r>
        <w:rPr/>
        <w:t xml:space="preserve">عثمان بن عفان، وعرض على علي بن أبي طالب.</w:t>
      </w:r>
    </w:p>
    <w:p/>
    <w:p>
      <w:pPr/>
      <w:r>
        <w:rPr/>
        <w:t xml:space="preserve">ذكره كما ذكرناه الحافظ نور الدين الهيثمي في «ترتيبه لثقات العجلي».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2026-08-05T18:16:50+03:00</dcterms:created>
  <dcterms:modified xsi:type="dcterms:W3CDTF">2026-08-05T18:16:50+03:00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