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بن حسن 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بن حسن الإربلي
</w:t>
      </w:r>
    </w:p>
    <w:p>
      <w:pPr/>
      <w:r>
        <w:rPr/>
        <w:t xml:space="preserve">أبو طاهر بن حسن الإربلي: </w:t>
      </w:r>
    </w:p>
    <w:p/>
    <w:p>
      <w:pPr/>
      <w:r>
        <w:rPr/>
        <w:t xml:space="preserve">وجدت بخط الميورقي في تعاليقه قال: وكنت خرجت بالأمس لرمى الجمار، فقابلنى شيخ تفرست فيه الولاية، فسألته، فقال: لي في هذه مائة وخمسون سنة. فسألته عن اسمه، فقال: أبو طاهر الإربلى، ألبس الخرفة عن شيخى وقدوتى عدي بن مسافر رضي الله عنه، فألبسنى في الحسين فارحا بى كفرحى به، قال: أنا برباط كلالة بمكة شرفها الله تعالى.</w:t>
      </w:r>
    </w:p>
    <w:p/>
    <w:p>
      <w:pPr/>
      <w:r>
        <w:rPr/>
        <w:t xml:space="preserve">وتأول قوله تعالي: </w:t>
      </w:r>
    </w:p>
    <w:p>
      <w:pPr/>
      <w:r>
        <w:rPr>
          <w:color w:val="0000ff"/>
        </w:rPr>
        <w:t xml:space="preserve">{ومن نعمره ننكسه في الخلق}</w:t>
      </w:r>
    </w:p>
    <w:p>
      <w:pPr/>
      <w:r>
        <w:rPr/>
        <w:t xml:space="preserve"> [يس: 68] أي نرده إلى حكم الصبى، لا نكتب عليه خطيئة. ثم قال: ومع هذا الرجاء الذي يقويه الخبر والأثر، فما دام عقل المرء بعد بلوغه فهو مكلف بالشرع وأحكامه.</w:t>
      </w:r>
    </w:p>
    <w:p/>
    <w:p>
      <w:pPr/>
      <w:r>
        <w:rPr/>
        <w:t xml:space="preserve">وجعل يلقنني التوحيد، فأطلق الله لسانى بما سره، فأثنى على أهل بلادى، وقال: أنا على مذهبك.</w:t>
      </w:r>
    </w:p>
    <w:p/>
    <w:p>
      <w:pPr/>
      <w:r>
        <w:rPr/>
        <w:t xml:space="preserve">والسنة التي أشار إليها هي سنة خمس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2026-08-05T17:02:27+03:00</dcterms:created>
  <dcterms:modified xsi:type="dcterms:W3CDTF">2026-08-05T17:02:27+03:00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