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دعيج بن أبي نمى محمد بن أبي سعد حسن بن علي بن قتادة الحسني
</w:t>
      </w:r>
    </w:p>
    <w:p>
      <w:pPr>
        <w:jc w:val="start"/>
        <w:bidi/>
      </w:pPr>
      <w:r>
        <w:rPr>
          <w:rFonts w:ascii="arial" w:hAnsi="arial" w:eastAsia="arial" w:cs="arial"/>
          <w:sz w:val="28"/>
          <w:szCs w:val="28"/>
          <w:b w:val="1"/>
          <w:bCs w:val="1"/>
          <w:rtl/>
        </w:rPr>
        <w:t xml:space="preserve">أبو دعيج بن أبي نمى محمد بن أبي سعد حسن بن علي بن قتادة الحسني
</w:t>
      </w:r>
    </w:p>
    <w:p>
      <w:pPr/>
      <w:r>
        <w:rPr/>
        <w:t xml:space="preserve">أبو دعيج بن أبي نمى محمد بن أبي سعد حسن بن علي بن قتادة الحسني: </w:t>
      </w:r>
    </w:p>
    <w:p/>
    <w:p>
      <w:pPr/>
      <w:r>
        <w:rPr/>
        <w:t xml:space="preserve">أجاز له باستدعاء الحافظ علم الدين البرزالي، مؤرخ بسنة ثلاث عشرة وسبعمائة: أبو العباس الحجار، والشيخ تقي الدين بن تيمية، وأحمد بن علي الجزري، وأحمد بن محمد البجدي، وإسحاق الآمدي، والقاسم بن المظفر بن عساكر، ومحمد بن أحمد بن الزراد، ومحمد بن محمد بن محمد بن هبة الله بن الشيرازي، وأبو بكر بن أحمد بن عبد الدائم، وزينب ابنة الكمال، وخلق.</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2026-08-05T17:04:36+03:00</dcterms:created>
  <dcterms:modified xsi:type="dcterms:W3CDTF">2026-08-05T17:04:36+03:00</dcterms:modified>
</cp:coreProperties>
</file>

<file path=docProps/custom.xml><?xml version="1.0" encoding="utf-8"?>
<Properties xmlns="http://schemas.openxmlformats.org/officeDocument/2006/custom-properties" xmlns:vt="http://schemas.openxmlformats.org/officeDocument/2006/docPropsVTypes"/>
</file>