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بن أبي بكر محمود بن ناصر الشيبي الحجبي المكي شيخ الحجبة وفاتح الكعبة يلقب فخر الدين
</w:t>
      </w:r>
    </w:p>
    <w:p>
      <w:pPr>
        <w:jc w:val="start"/>
        <w:bidi/>
      </w:pPr>
      <w:r>
        <w:rPr>
          <w:rFonts w:ascii="arial" w:hAnsi="arial" w:eastAsia="arial" w:cs="arial"/>
          <w:sz w:val="28"/>
          <w:szCs w:val="28"/>
          <w:b w:val="1"/>
          <w:bCs w:val="1"/>
          <w:rtl/>
        </w:rPr>
        <w:t xml:space="preserve">أبو بكر بن محمد بن أبي بكر محمود بن ناصر الشيبي الحجبي المكي شيخ الحجبة وفاتح الكعبة يلقب فخر الدين
</w:t>
      </w:r>
    </w:p>
    <w:p>
      <w:pPr/>
      <w:r>
        <w:rPr/>
        <w:t xml:space="preserve">أبو بكر بن محمد بن أبي بكر محمود بن ناصر الشيبي الحجبي المكي، شيخ الحجبة، وفاتح الكعبة، يلقب فخر الدين: </w:t>
      </w:r>
    </w:p>
    <w:p/>
    <w:p>
      <w:pPr/>
      <w:r>
        <w:rPr/>
        <w:t xml:space="preserve">سمع بمكة على الشيخ خليل المالكي: «الشفا» للقاضي عياض، والأربعين الفراوية، وبعض الموطأ، رواية يحيى بن يحيى، وغير ذلك، ومن العز بن جماعة: «المنسك الكبير» له، ومنه ومن الفخر النويري، بعض «السنن الصغرى للنسائي» ومن الكمال بن حبيب بعض «مشيخته» وذكر أنه سمع بدمشق على ابن أميلة، ولم أر ذلك، وولى مشيخة الحجبة بعد علي بن أبي راجح الشيبي، من صاحب مصر، وولى ذلك أخوه على، من أمير مكة بعد موت علي بن أبي راجح المذكور، فلما وصل توقيع أبي بكر بولايته لمشيخة الحجبة، باشر ذلك عنه ابنه أحمد، لكون أبيه كان غائبا عن مكة باليمن، في حال ولايته، وفي حال وصول توقيعه بالولاية إلى مكة، ثم مات أحمد بعد شهر أو نحوه، فعاد إلى مباشرة الفتح، لغيبة أبي بكر من مكة، وباشر ذلك بحضرة أبي بكر، بعد وصوله، لأنه سأل أبا بكر أن يعطيه ما ذكر أنه تكلفه على الولاية، فتوقف في ذلك أبو بكر.</w:t>
      </w:r>
    </w:p>
    <w:p/>
    <w:p>
      <w:pPr/>
      <w:r>
        <w:rPr/>
        <w:t xml:space="preserve">فلما كان في أول سنة تسعين وسبعمائة، باشر أبو بكر فتح الكعبة بغير كلفة، لأمر أوجب ذلك، واستمر أبو بكر على ولايته، حتى مات في آخر ليلة السبت ثاني عشرى صفر، سنة سبع عشرة وثمانمائة بمكة، ودفن بالمعلاة، وهو في عشر الثمانين، فإنه ذكر لي ما يقتضى أنه ولد بعد سنة أربعين وسبعمائة بيسير.</w:t>
      </w:r>
    </w:p>
    <w:p/>
    <w:p>
      <w:pPr/>
      <w:r>
        <w:rPr/>
        <w:t xml:space="preserve">وكان شديد السواد، في سمعه ثقل كثير، وسافر بعد مباشرته للمشيخة غير مرة من مكة، وكان يستخلف فيها ابن أخيه على في بعض الأوقات، واستخلف في بعضها أخاه عليا، وفي مرض موته، استخلف الجمال محمد بن علي بن أبي راجح الشيبي، وباشر ذلك مرتين قبل موته، وكان استخلفه في ذلك في بعض سفراته من 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2026-10-09T21:06:02+03:00</dcterms:created>
  <dcterms:modified xsi:type="dcterms:W3CDTF">2026-10-09T21:06:02+03:00</dcterms:modified>
</cp:coreProperties>
</file>

<file path=docProps/custom.xml><?xml version="1.0" encoding="utf-8"?>
<Properties xmlns="http://schemas.openxmlformats.org/officeDocument/2006/custom-properties" xmlns:vt="http://schemas.openxmlformats.org/officeDocument/2006/docPropsVTypes"/>
</file>