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إبراهيم المرشدي المكي الحنفي فخر الدين بن جمال الدين
</w:t>
      </w:r>
    </w:p>
    <w:p>
      <w:pPr>
        <w:jc w:val="start"/>
        <w:bidi/>
      </w:pPr>
      <w:r>
        <w:rPr>
          <w:rFonts w:ascii="arial" w:hAnsi="arial" w:eastAsia="arial" w:cs="arial"/>
          <w:sz w:val="28"/>
          <w:szCs w:val="28"/>
          <w:b w:val="1"/>
          <w:bCs w:val="1"/>
          <w:rtl/>
        </w:rPr>
        <w:t xml:space="preserve">أبو بكر بن محمد بن إبراهيم المرشدي المكي الحنفي فخر الدين بن جمال الدين
</w:t>
      </w:r>
    </w:p>
    <w:p>
      <w:pPr/>
      <w:r>
        <w:rPr/>
        <w:t xml:space="preserve">أبو بكر بن محمد بن إبراهيم المرشدي المكي الحنفي، فخر الدين بن جمال الدين: </w:t>
      </w:r>
    </w:p>
    <w:p/>
    <w:p>
      <w:pPr/>
      <w:r>
        <w:rPr/>
        <w:t xml:space="preserve">ولد بين الظهر والعصر من يوم السبت ثالث شهر رمضان، سنة إحدى وثمانمائة، وأجاز له في سنة خمس وثمانمائة وما بعدها: أحمد بن محمد بن أبي البدر الجوهرى، وعبد الكريم بن محمد بن عبد الكريم الحلبي، وأبو اليمن الطبري، وعائشة بنت محمد بن عبد الهادي، وأبو اليسر أحمد بن عبد الله بن الصائغ، والعراقي، والهيثمي، وأبو الطيب السحولى، وعبد القادر الأرموى، وخلق. حفظ «الكنز» في الفقه، وغيره، واشتغل، ومات في شوال، أو ذي القعدة، سنة سبع وعشرين وثمانمائة بمكة، ودفن بالمعلاة، وهو في عشر الثلاثين.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2026-10-09T21:00:46+03:00</dcterms:created>
  <dcterms:modified xsi:type="dcterms:W3CDTF">2026-10-09T21:00:46+03:00</dcterms:modified>
</cp:coreProperties>
</file>

<file path=docProps/custom.xml><?xml version="1.0" encoding="utf-8"?>
<Properties xmlns="http://schemas.openxmlformats.org/officeDocument/2006/custom-properties" xmlns:vt="http://schemas.openxmlformats.org/officeDocument/2006/docPropsVTypes"/>
</file>