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علي بن يوسف الذروى يلقب بالفخر ويعرف بالمصري
</w:t>
      </w:r>
    </w:p>
    <w:p>
      <w:pPr>
        <w:jc w:val="start"/>
        <w:bidi/>
      </w:pPr>
      <w:r>
        <w:rPr>
          <w:rFonts w:ascii="arial" w:hAnsi="arial" w:eastAsia="arial" w:cs="arial"/>
          <w:sz w:val="28"/>
          <w:szCs w:val="28"/>
          <w:b w:val="1"/>
          <w:bCs w:val="1"/>
          <w:rtl/>
        </w:rPr>
        <w:t xml:space="preserve">أبو بكر بن علي بن يوسف الذروى يلقب بالفخر ويعرف بالمصري
</w:t>
      </w:r>
    </w:p>
    <w:p>
      <w:pPr/>
      <w:r>
        <w:rPr/>
        <w:t xml:space="preserve">أبو بكر بن علي بن يوسف الذروى، يلقب بالفخر ويعرف بالمصري: </w:t>
      </w:r>
    </w:p>
    <w:p/>
    <w:p>
      <w:pPr/>
      <w:r>
        <w:rPr/>
        <w:t xml:space="preserve">الفراش بالحرم الشريف المكي. سمع بها على الحجي والزين الطبري، ومحمد بن الصفي، وجماعة. وقرأ بنفسه، وكتب بخطه طبقات يسيرة، وكان فراشا بالحرم الشريف، وأمينا على الشراب، وكانت له خصوصية بالقاضي تقي الدين الحرازي، وتوفى في رمضان أو بعده، من سنة سبع وستين وسبعمائة ببلده فيما أظن. وتوفى ولده أبو الفضل محمد، في آخر سنة أربع وتسعين، أو في سنة خمس، في الإسكندرية فيما أظن.</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2026-10-08T20:58:30+03:00</dcterms:created>
  <dcterms:modified xsi:type="dcterms:W3CDTF">2026-10-08T20:58:30+03:00</dcterms:modified>
</cp:coreProperties>
</file>

<file path=docProps/custom.xml><?xml version="1.0" encoding="utf-8"?>
<Properties xmlns="http://schemas.openxmlformats.org/officeDocument/2006/custom-properties" xmlns:vt="http://schemas.openxmlformats.org/officeDocument/2006/docPropsVTypes"/>
</file>