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أحمد بن الجبرتى المؤدب بالمسجد الحرام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أحمد بن الجبرتى المؤدب بالمسجد الحرام
</w:t>
      </w:r>
    </w:p>
    <w:p>
      <w:pPr/>
      <w:r>
        <w:rPr/>
        <w:t xml:space="preserve">أبو بكر أحمد بن الجبرتى المؤدب بالمسجد الحرام: </w:t>
      </w:r>
    </w:p>
    <w:p/>
    <w:p>
      <w:pPr/>
      <w:r>
        <w:rPr/>
        <w:t xml:space="preserve">جاور بمكة مدة طويلة، وأدب الأطفال بالحرم تحت مئذنة باب على، وكان خيرا.</w:t>
      </w:r>
    </w:p>
    <w:p/>
    <w:p>
      <w:pPr/>
      <w:r>
        <w:rPr/>
        <w:t xml:space="preserve">وتوفى في ثامن عشر ذي القعدة سنة ست وثمانين وسبعمائة بمكة، ودفن بالمعلاة.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2026-10-08T22:00:07+03:00</dcterms:created>
  <dcterms:modified xsi:type="dcterms:W3CDTF">2026-10-08T22:00:07+03:00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