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أحمد بن محمد الشراحي
</w:t>
      </w:r>
    </w:p>
    <w:p>
      <w:pPr>
        <w:jc w:val="start"/>
        <w:bidi/>
      </w:pPr>
      <w:r>
        <w:rPr>
          <w:rFonts w:ascii="arial" w:hAnsi="arial" w:eastAsia="arial" w:cs="arial"/>
          <w:sz w:val="28"/>
          <w:szCs w:val="28"/>
          <w:b w:val="1"/>
          <w:bCs w:val="1"/>
          <w:rtl/>
        </w:rPr>
        <w:t xml:space="preserve">أبو بكر بن أحمد بن محمد الشراحي
</w:t>
      </w:r>
    </w:p>
    <w:p>
      <w:pPr/>
      <w:r>
        <w:rPr/>
        <w:t xml:space="preserve">أبو بكر بن أحمد بن محمد الشراحي: </w:t>
      </w:r>
    </w:p>
    <w:p/>
    <w:p>
      <w:pPr/>
      <w:r>
        <w:rPr/>
        <w:t xml:space="preserve">نزيل مكة، سمع من ابن أبي الصيف، ومن يونس الهاشمي: صحيح البخاري، ومن زاهر، ومن الحصري، مسند الشافعي؛ وغير ذلك، وحدث وأجاز لأمين الدين القسطلاني، وأظنه خاتمة أصحابه. ونقلت من خطه، أنه توفى في ثامن ذي القعدة سنة اثنتين وأربعين وستمائة بمكة، ونقلت من خط الشراحى، وأنه ولد سنة سبع وسبعين وخمسمائة.</w:t>
      </w:r>
    </w:p>
    <w:p/>
    <w:p>
      <w:pPr/>
      <w:r>
        <w:rPr/>
        <w:t xml:space="preserve">والشراحي: بشين معجمة وحاء مهملة.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2026-10-08T21:56:50+03:00</dcterms:created>
  <dcterms:modified xsi:type="dcterms:W3CDTF">2026-10-08T21:56:50+03:00</dcterms:modified>
</cp:coreProperties>
</file>

<file path=docProps/custom.xml><?xml version="1.0" encoding="utf-8"?>
<Properties xmlns="http://schemas.openxmlformats.org/officeDocument/2006/custom-properties" xmlns:vt="http://schemas.openxmlformats.org/officeDocument/2006/docPropsVTypes"/>
</file>